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Calibri" w:hAnsi="Calibri"/>
          <w:b/>
          <w:color w:val="1F3A52"/>
          <w:sz w:val="44"/>
        </w:rPr>
        <w:t>PTS Civics Study Blueprint</w:t>
      </w:r>
    </w:p>
    <w:p>
      <w:pPr>
        <w:spacing w:before="0" w:after="360"/>
      </w:pPr>
      <w:r>
        <w:rPr>
          <w:rFonts w:ascii="Calibri" w:hAnsi="Calibri"/>
          <w:i/>
          <w:color w:val="465F73"/>
          <w:sz w:val="26"/>
        </w:rPr>
        <w:t>Summary of Exam Topics and Subtopics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1F3A52"/>
          <w:bottom w:val="single" w:sz="6" w:space="0" w:color="1F3A52"/>
          <w:insideH w:val="single" w:sz="4" w:space="0" w:color="CCCCCC"/>
          <w:insideV w:val="none"/>
          <w:left w:val="none"/>
          <w:right w:val="none"/>
        </w:tblBorders>
      </w:tblPr>
      <w:tblGrid>
        <w:gridCol w:w="3312"/>
        <w:gridCol w:w="3312"/>
        <w:gridCol w:w="3312"/>
      </w:tblGrid>
      <w:tr>
        <w:trPr>
          <w:tblHeader/>
        </w:trPr>
        <w:tc>
          <w:tcPr>
            <w:tcW w:type="dxa" w:w="3168"/>
            <w:shd w:fill="1F3A5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80" w:after="80"/>
              <w:jc w:val="left"/>
            </w:pPr>
            <w:r>
              <w:rPr>
                <w:rFonts w:ascii="Calibri" w:hAnsi="Calibri"/>
                <w:b/>
                <w:color w:val="FFFFFF"/>
                <w:sz w:val="22"/>
              </w:rPr>
              <w:t>Main Category</w:t>
            </w:r>
          </w:p>
        </w:tc>
        <w:tc>
          <w:tcPr>
            <w:tcW w:type="dxa" w:w="2592"/>
            <w:shd w:fill="1F3A5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80" w:after="80"/>
              <w:jc w:val="left"/>
            </w:pPr>
            <w:r>
              <w:rPr>
                <w:rFonts w:ascii="Calibri" w:hAnsi="Calibri"/>
                <w:b/>
                <w:color w:val="FFFFFF"/>
                <w:sz w:val="22"/>
              </w:rPr>
              <w:t>Topic / Subtopic</w:t>
            </w:r>
          </w:p>
        </w:tc>
        <w:tc>
          <w:tcPr>
            <w:tcW w:type="dxa" w:w="4032"/>
            <w:shd w:fill="1F3A5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80" w:after="80"/>
              <w:jc w:val="left"/>
            </w:pPr>
            <w:r>
              <w:rPr>
                <w:rFonts w:ascii="Calibri" w:hAnsi="Calibri"/>
                <w:b/>
                <w:color w:val="FFFFFF"/>
                <w:sz w:val="22"/>
              </w:rPr>
              <w:t>Key Content &amp; Scope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1F3A52"/>
                <w:sz w:val="21"/>
              </w:rPr>
              <w:t>1. History and Formulation of Pancasila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Background of Pancasila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Primary reasons and background of establishing Pancasila prior to independence.</w:t>
              <w:br/>
              <w:t>• Historical connection to Indonesian indigenous traditional values.</w:t>
              <w:br/>
              <w:t>• Pancasila as a unifying foundation to prevent national divisions in a multicultural society.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Formation of BPUPKI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Main objectives and Japanese promises behind forming BPUPKI during WWII.</w:t>
              <w:br/>
              <w:t>• Strategic motives of Indonesian leaders vs. administrative motives of Japan.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BPUPKI Assembly / Sessions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Agenda, topics, and discussions during the first general BPUPKI assembly.</w:t>
              <w:br/>
              <w:t>• Processing and synthesizing diverse ideological proposals into a unified draft.</w:t>
              <w:br/>
              <w:t>• Democratic open discussions and historical synthesis by Soekarno.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Three Founders of Pancasila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National figures proposing principles (Yamin, Soepomo, Soekarno) and origin of the term 'Pancasila' (June 1, 1945).</w:t>
              <w:br/>
              <w:t>• Similarities, differences, and complementary aspects among the proposed principles.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Panitia Sembilan &amp; Jakarta Charter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Membership of Panitia Sembilan and formulation date of the Jakarta Charter (June 22, 1945).</w:t>
              <w:br/>
              <w:t>• Compromise between Nationalist and Islamic factions.</w:t>
              <w:br/>
              <w:t>• Historical reasoning, context of national unity, and religious equality behind revising the first principle.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Official Ratification by PPKI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Exact ratification date of Pancasila by PPKI (August 18, 1945).</w:t>
              <w:br/>
              <w:t>• Constitutional significance and political wisdom of PPKI in revising the 1st Principle.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1F3A52"/>
                <w:sz w:val="21"/>
              </w:rPr>
              <w:t>2. Role, Symbols, and Meaning of Pancasila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Role &amp; Legal Status of Pancasila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Status as the fundamental legal norm (Staatsfundamentalnorm) and State Foundation (Dasar Negara).</w:t>
              <w:br/>
              <w:t>• Legal hierarchy: Pancasila as the source of all legal sources (Sumber dari Segala Sumber Hukum).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National Emblem &amp; Meaning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Official emblem (Garuda Pancasila, shield, and 8 tail feathers symbolizing independence month).</w:t>
              <w:br/>
              <w:t>• English translation and symbolic meaning of 'Bhinneka Tunggal Ika'.</w:t>
              <w:br/>
              <w:t>• Discriminatory behaviors violating intercultural harmony and national unity.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5 Principles &amp; Symbols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Matching the 5 principles with official emblems (Star, Bull's Head, Banyan Tree, Cotton &amp; Rice).</w:t>
              <w:br/>
              <w:t>• Symbolic meaning of Banyan Tree hanging roots (sulur) representing unity in diversity.</w:t>
              <w:br/>
              <w:t>• Symbolic meaning of Rice and Cotton representing basic human needs (food &amp; clothing).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1F3A52"/>
                <w:sz w:val="21"/>
              </w:rPr>
              <w:t>3. Implementation of Pancasila in Daily Life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Implementation of Pancasila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1st Principle: Inter-religious tolerance among students.</w:t>
              <w:br/>
              <w:t>• 2nd Principle: Humanitarian aid, respecting human rights, and civil behavior.</w:t>
              <w:br/>
              <w:t>• 3rd Principle: Cross-cultural cooperation and promoting harmony in school settings.</w:t>
              <w:br/>
              <w:t>• 4th Principle: Classroom decision-making, democratic deliberations (musyawarah), and consensus.</w:t>
              <w:br/>
              <w:t>• 5th Principle: Social justice, community welfare, and fair resource allocation.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1F3A52"/>
                <w:sz w:val="21"/>
              </w:rPr>
              <w:t>4. Social Norms in Society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Religious Norms (Norma Agama)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Originating from divine revelation/scriptures, internal guilt mechanisms, and afterlife sanctions.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Moral Norms (Norma Kesusilaan)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Originating from inner human conscience, personal honesty, and internal remorse/guilt.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Politeness Norms (Norma Kesopanan)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Originating from societal etiquette, daily customs, and social disapproval/criticism.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Law Norms (Norma Hukum)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Written, binding regulations enacted by state authorities, enforced by police/fines/legal penalties.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</w:p>
        </w:tc>
        <w:tc>
          <w:tcPr>
            <w:tcW w:type="dxa" w:w="259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282828"/>
                <w:sz w:val="20"/>
              </w:rPr>
              <w:t>Types &amp; Comparison of Norms</w:t>
            </w:r>
          </w:p>
        </w:tc>
        <w:tc>
          <w:tcPr>
            <w:tcW w:type="dxa" w:w="4032"/>
            <w:tcMar>
              <w:top w:w="100" w:type="dxa"/>
              <w:bottom w:w="100" w:type="dxa"/>
              <w:left w:w="150" w:type="dxa"/>
              <w:right w:w="150" w:type="dxa"/>
            </w:tcMar>
            <w:shd w:fill="F2F5F8"/>
          </w:tcPr>
          <w:p>
            <w:pPr>
              <w:spacing w:before="40" w:after="40"/>
            </w:pPr>
            <w:r>
              <w:rPr>
                <w:rFonts w:ascii="Calibri" w:hAnsi="Calibri"/>
                <w:color w:val="282828"/>
                <w:sz w:val="19"/>
              </w:rPr>
              <w:t>• Distinguishing sources, mechanisms, internal guilt vs. statutory penalties across norms.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